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2"/>
        </w:numP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原料消耗及产品去向</w:t>
      </w:r>
    </w:p>
    <w:bookmarkEnd w:id="0"/>
    <w:tbl>
      <w:tblPr>
        <w:tblStyle w:val="5"/>
        <w:tblW w:w="14195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2476"/>
        <w:gridCol w:w="2591"/>
        <w:gridCol w:w="2250"/>
        <w:gridCol w:w="2208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产物来源</w:t>
            </w:r>
          </w:p>
        </w:tc>
        <w:tc>
          <w:tcPr>
            <w:tcW w:w="247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接收量合计（t)</w:t>
            </w:r>
          </w:p>
        </w:tc>
        <w:tc>
          <w:tcPr>
            <w:tcW w:w="25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处置利用量（t)</w:t>
            </w:r>
          </w:p>
        </w:tc>
        <w:tc>
          <w:tcPr>
            <w:tcW w:w="22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原料库存量（t)</w:t>
            </w:r>
          </w:p>
        </w:tc>
        <w:tc>
          <w:tcPr>
            <w:tcW w:w="220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再生产物量（t)</w:t>
            </w:r>
          </w:p>
        </w:tc>
        <w:tc>
          <w:tcPr>
            <w:tcW w:w="21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再生产物用途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废清洗剂I残液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18779.3837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18498.9037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280.48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3475.04</w:t>
            </w:r>
          </w:p>
        </w:tc>
        <w:tc>
          <w:tcPr>
            <w:tcW w:w="21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清洗剂、水性、油性涂料脱漆剂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en-US"/>
              </w:rPr>
              <w:t>废清洗剂Ⅱ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残液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479.614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478.7415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0.8725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80.3755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农药中间体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废显影液残液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159.772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80.7785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78.9935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49.37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废稀释剂残液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956.37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721.75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234.62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582.52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清洗剂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废二甲基亚砜残液</w:t>
            </w:r>
          </w:p>
        </w:tc>
        <w:tc>
          <w:tcPr>
            <w:tcW w:w="2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668.23</w:t>
            </w:r>
          </w:p>
        </w:tc>
        <w:tc>
          <w:tcPr>
            <w:tcW w:w="25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615.19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53.04</w:t>
            </w:r>
          </w:p>
        </w:tc>
        <w:tc>
          <w:tcPr>
            <w:tcW w:w="2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246.97</w:t>
            </w:r>
          </w:p>
        </w:tc>
        <w:tc>
          <w:tcPr>
            <w:tcW w:w="2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="0" w:afterAutospacing="0" w:line="0" w:lineRule="atLeas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pacing w:val="0"/>
                <w:w w:val="100"/>
                <w:position w:val="0"/>
                <w:sz w:val="28"/>
                <w:szCs w:val="28"/>
                <w:lang w:val="en-US" w:eastAsia="zh-CN"/>
              </w:rPr>
              <w:t>清洗剂</w:t>
            </w:r>
          </w:p>
        </w:tc>
      </w:tr>
    </w:tbl>
    <w:p>
      <w:pPr>
        <w:numPr>
          <w:numId w:val="0"/>
        </w:num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2"/>
          <w:numId w:val="0"/>
        </w:numPr>
        <w:spacing w:before="159" w:beforeLines="50" w:beforeAutospacing="0" w:after="0" w:afterAutospacing="0" w:line="360" w:lineRule="auto"/>
        <w:jc w:val="both"/>
        <w:rPr>
          <w:rFonts w:hint="eastAsia"/>
          <w:color w:va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>2、次生危废产生与转移处置情况</w:t>
      </w:r>
      <w:r>
        <w:rPr>
          <w:rFonts w:hint="eastAsia" w:ascii="仿宋" w:hAnsi="仿宋" w:eastAsia="仿宋" w:cs="仿宋"/>
          <w:i w:val="0"/>
          <w:iCs w:val="0"/>
          <w:color w:val="auto"/>
          <w:spacing w:val="0"/>
          <w:w w:val="100"/>
          <w:position w:val="0"/>
          <w:sz w:val="28"/>
          <w:szCs w:val="28"/>
          <w:lang w:val="en-US" w:eastAsia="zh-CN"/>
        </w:rPr>
        <w:t xml:space="preserve">    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7"/>
        <w:gridCol w:w="1805"/>
        <w:gridCol w:w="2362"/>
        <w:gridCol w:w="2361"/>
        <w:gridCol w:w="2361"/>
        <w:gridCol w:w="2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危废名称</w:t>
            </w:r>
          </w:p>
        </w:tc>
        <w:tc>
          <w:tcPr>
            <w:tcW w:w="1805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危废代码</w:t>
            </w:r>
          </w:p>
        </w:tc>
        <w:tc>
          <w:tcPr>
            <w:tcW w:w="2362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产生量</w:t>
            </w:r>
          </w:p>
        </w:tc>
        <w:tc>
          <w:tcPr>
            <w:tcW w:w="2361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处置量</w:t>
            </w:r>
          </w:p>
        </w:tc>
        <w:tc>
          <w:tcPr>
            <w:tcW w:w="2361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库存量</w:t>
            </w:r>
          </w:p>
        </w:tc>
        <w:tc>
          <w:tcPr>
            <w:tcW w:w="2368" w:type="dxa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委托去向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化验废液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900-047-49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1.497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1.497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冷凝废液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900-013-11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273.08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188.33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84.75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废油及污泥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900-210-08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220.025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220.025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废精（蒸）馏残液（渣）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900-013-11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267.065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236.105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30.96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卓越环保/中环信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废活性炭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900-039-49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10.23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10.23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卓越环保/常州碧之源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在线设备废液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900-047-49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0.16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0.16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废试剂瓶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900-041-49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0.612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0.612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废油漆桶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900-041-49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0.148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0.148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废手套、含油抹布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900-041-49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1.508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1.388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0.12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废气处理系统废液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900-013-11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3.7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蒸发残液（渣）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900-013-11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0.21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0.21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Autospacing="0" w:line="0" w:lineRule="atLeas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废包装桶</w:t>
            </w:r>
          </w:p>
        </w:tc>
        <w:tc>
          <w:tcPr>
            <w:tcW w:w="1805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900-041-49</w:t>
            </w:r>
          </w:p>
        </w:tc>
        <w:tc>
          <w:tcPr>
            <w:tcW w:w="2362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1.17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1.17</w:t>
            </w:r>
          </w:p>
        </w:tc>
        <w:tc>
          <w:tcPr>
            <w:tcW w:w="2361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2368" w:type="dxa"/>
            <w:vAlign w:val="center"/>
          </w:tcPr>
          <w:p>
            <w:pPr>
              <w:pStyle w:val="2"/>
              <w:widowControl w:val="0"/>
              <w:numPr>
                <w:ilvl w:val="0"/>
                <w:numId w:val="0"/>
              </w:numPr>
              <w:spacing w:after="0" w:afterAutospacing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8"/>
                <w:szCs w:val="28"/>
                <w:lang w:val="en-US" w:eastAsia="zh-CN"/>
              </w:rPr>
              <w:t>卓越环保</w:t>
            </w:r>
          </w:p>
        </w:tc>
      </w:tr>
    </w:tbl>
    <w:p>
      <w:pPr>
        <w:pStyle w:val="3"/>
        <w:widowControl w:val="0"/>
        <w:numPr>
          <w:numId w:val="0"/>
        </w:numPr>
        <w:jc w:val="both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84466C4"/>
    <w:multiLevelType w:val="singleLevel"/>
    <w:tmpl w:val="C84466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F8BFC44"/>
    <w:multiLevelType w:val="singleLevel"/>
    <w:tmpl w:val="6F8BFC44"/>
    <w:lvl w:ilvl="0" w:tentative="0">
      <w:start w:val="1"/>
      <w:numFmt w:val="bullet"/>
      <w:pStyle w:val="3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3439D2"/>
    <w:rsid w:val="3834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rPr>
      <w:rFonts w:hint="eastAsia"/>
      <w:sz w:val="24"/>
    </w:rPr>
  </w:style>
  <w:style w:type="paragraph" w:styleId="3">
    <w:name w:val="List Bullet 5"/>
    <w:basedOn w:val="1"/>
    <w:uiPriority w:val="0"/>
    <w:pPr>
      <w:numPr>
        <w:ilvl w:val="0"/>
        <w:numId w:val="1"/>
      </w:numPr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2024-07-19T07:35:00Z</dcterms:created>
  <dc:creator>DELL</dc:creator>
  <cp:lastModifiedBy>DELL</cp:lastModifiedBy>
  <dcterms:modified xsi:type="dcterms:W3CDTF">2024-07-19T07:42:42Z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